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1D39B" w14:textId="443C09D0" w:rsidR="001066AE" w:rsidRPr="001066AE" w:rsidRDefault="001066AE" w:rsidP="001066AE">
      <w:pPr>
        <w:jc w:val="center"/>
        <w:rPr>
          <w:rFonts w:ascii="Work Sans" w:hAnsi="Work Sans"/>
          <w:b/>
          <w:bCs/>
          <w:sz w:val="28"/>
          <w:szCs w:val="28"/>
          <w:lang w:val="en-US"/>
        </w:rPr>
      </w:pPr>
      <w:r w:rsidRPr="001066AE">
        <w:rPr>
          <w:rFonts w:ascii="Work Sans" w:hAnsi="Work Sans"/>
          <w:b/>
          <w:bCs/>
          <w:sz w:val="28"/>
          <w:szCs w:val="28"/>
          <w:lang w:val="en-US"/>
        </w:rPr>
        <w:t>ALCANTARA CONTINUES ITS COLLABORATION WITH MOTOROLA ON THE NEW RAZR 70 ULTRA</w:t>
      </w:r>
    </w:p>
    <w:p w14:paraId="728FF01A" w14:textId="13CAE0E1" w:rsidR="005F304F" w:rsidRPr="005F304F" w:rsidRDefault="005F304F" w:rsidP="005F304F">
      <w:pPr>
        <w:rPr>
          <w:rFonts w:ascii="Work Sans" w:hAnsi="Work Sans"/>
          <w:lang w:val="en-US"/>
        </w:rPr>
      </w:pPr>
      <w:r w:rsidRPr="005F304F">
        <w:rPr>
          <w:rFonts w:ascii="Work Sans" w:hAnsi="Work Sans"/>
          <w:lang w:val="en-US"/>
        </w:rPr>
        <w:t xml:space="preserve">Following the launch of the </w:t>
      </w:r>
      <w:r w:rsidR="001066AE">
        <w:rPr>
          <w:rFonts w:ascii="Work Sans" w:hAnsi="Work Sans"/>
          <w:lang w:val="en-US"/>
        </w:rPr>
        <w:t>M</w:t>
      </w:r>
      <w:r w:rsidRPr="005F304F">
        <w:rPr>
          <w:rFonts w:ascii="Work Sans" w:hAnsi="Work Sans"/>
          <w:lang w:val="en-US"/>
        </w:rPr>
        <w:t xml:space="preserve">otorola </w:t>
      </w:r>
      <w:proofErr w:type="spellStart"/>
      <w:r w:rsidR="001066AE">
        <w:rPr>
          <w:rFonts w:ascii="Work Sans" w:hAnsi="Work Sans"/>
          <w:lang w:val="en-US"/>
        </w:rPr>
        <w:t>r</w:t>
      </w:r>
      <w:r w:rsidRPr="005F304F">
        <w:rPr>
          <w:rFonts w:ascii="Work Sans" w:hAnsi="Work Sans"/>
          <w:lang w:val="en-US"/>
        </w:rPr>
        <w:t>azr</w:t>
      </w:r>
      <w:proofErr w:type="spellEnd"/>
      <w:r w:rsidRPr="005F304F">
        <w:rPr>
          <w:rFonts w:ascii="Work Sans" w:hAnsi="Work Sans"/>
          <w:lang w:val="en-US"/>
        </w:rPr>
        <w:t xml:space="preserve"> 60 </w:t>
      </w:r>
      <w:r w:rsidR="001066AE">
        <w:rPr>
          <w:rFonts w:ascii="Work Sans" w:hAnsi="Work Sans"/>
          <w:lang w:val="en-US"/>
        </w:rPr>
        <w:t>u</w:t>
      </w:r>
      <w:r w:rsidRPr="005F304F">
        <w:rPr>
          <w:rFonts w:ascii="Work Sans" w:hAnsi="Work Sans"/>
          <w:lang w:val="en-US"/>
        </w:rPr>
        <w:t xml:space="preserve">ltra </w:t>
      </w:r>
      <w:r w:rsidR="001066AE">
        <w:rPr>
          <w:rFonts w:ascii="Work Sans" w:hAnsi="Work Sans"/>
          <w:lang w:val="en-US"/>
        </w:rPr>
        <w:t>in 2025</w:t>
      </w:r>
      <w:r w:rsidRPr="005F304F">
        <w:rPr>
          <w:rFonts w:ascii="Work Sans" w:hAnsi="Work Sans"/>
          <w:lang w:val="en-US"/>
        </w:rPr>
        <w:t xml:space="preserve">, Motorola and Alcantara continue their collaboration with the introduction of three new flip devices in the </w:t>
      </w:r>
      <w:proofErr w:type="spellStart"/>
      <w:r w:rsidRPr="005F304F">
        <w:rPr>
          <w:rFonts w:ascii="Work Sans" w:hAnsi="Work Sans"/>
          <w:lang w:val="en-US"/>
        </w:rPr>
        <w:t>razr</w:t>
      </w:r>
      <w:proofErr w:type="spellEnd"/>
      <w:r w:rsidRPr="005F304F">
        <w:rPr>
          <w:rFonts w:ascii="Work Sans" w:hAnsi="Work Sans"/>
          <w:lang w:val="en-US"/>
        </w:rPr>
        <w:t xml:space="preserve"> family. Designed to deliver smarter, more personalized experiences in a chic and portable silhouette, the next generation of </w:t>
      </w:r>
      <w:proofErr w:type="spellStart"/>
      <w:r w:rsidRPr="005F304F">
        <w:rPr>
          <w:rFonts w:ascii="Work Sans" w:hAnsi="Work Sans"/>
          <w:lang w:val="en-US"/>
        </w:rPr>
        <w:t>razr</w:t>
      </w:r>
      <w:proofErr w:type="spellEnd"/>
      <w:r w:rsidRPr="005F304F">
        <w:rPr>
          <w:rFonts w:ascii="Work Sans" w:hAnsi="Work Sans"/>
          <w:lang w:val="en-US"/>
        </w:rPr>
        <w:t xml:space="preserve"> devices combines refined design, advanced performance and AI-driven intelligence to meet a wide range of user needs</w:t>
      </w:r>
      <w:r>
        <w:rPr>
          <w:rFonts w:ascii="Work Sans" w:hAnsi="Work Sans"/>
          <w:lang w:val="en-US"/>
        </w:rPr>
        <w:t xml:space="preserve">: </w:t>
      </w:r>
      <w:r w:rsidRPr="005F304F">
        <w:rPr>
          <w:rFonts w:ascii="Work Sans" w:hAnsi="Work Sans"/>
          <w:lang w:val="en-US"/>
        </w:rPr>
        <w:t>from everyday flexibility to premium, flagship-level innovation.</w:t>
      </w:r>
    </w:p>
    <w:p w14:paraId="6423FFA5" w14:textId="46DDCF23" w:rsidR="005F304F" w:rsidRPr="005F304F" w:rsidRDefault="005F304F" w:rsidP="005F304F">
      <w:pPr>
        <w:rPr>
          <w:rFonts w:ascii="Work Sans" w:hAnsi="Work Sans"/>
          <w:lang w:val="en-US"/>
        </w:rPr>
      </w:pPr>
      <w:r w:rsidRPr="005F304F">
        <w:rPr>
          <w:rFonts w:ascii="Work Sans" w:hAnsi="Work Sans"/>
          <w:lang w:val="en-US"/>
        </w:rPr>
        <w:t xml:space="preserve">Within this context, Alcantara plays a central role in defining the identity of the </w:t>
      </w:r>
      <w:r w:rsidR="001066AE">
        <w:rPr>
          <w:rFonts w:ascii="Work Sans" w:hAnsi="Work Sans"/>
          <w:lang w:val="en-US"/>
        </w:rPr>
        <w:t>M</w:t>
      </w:r>
      <w:r w:rsidRPr="005F304F">
        <w:rPr>
          <w:rFonts w:ascii="Work Sans" w:hAnsi="Work Sans"/>
          <w:lang w:val="en-US"/>
        </w:rPr>
        <w:t xml:space="preserve">otorola </w:t>
      </w:r>
      <w:proofErr w:type="spellStart"/>
      <w:r w:rsidRPr="005F304F">
        <w:rPr>
          <w:rFonts w:ascii="Work Sans" w:hAnsi="Work Sans"/>
          <w:lang w:val="en-US"/>
        </w:rPr>
        <w:t>razr</w:t>
      </w:r>
      <w:proofErr w:type="spellEnd"/>
      <w:r w:rsidRPr="005F304F">
        <w:rPr>
          <w:rFonts w:ascii="Work Sans" w:hAnsi="Work Sans"/>
          <w:lang w:val="en-US"/>
        </w:rPr>
        <w:t xml:space="preserve"> 70 ultra.</w:t>
      </w:r>
    </w:p>
    <w:p w14:paraId="3D7DFFC0" w14:textId="1BEA680F" w:rsidR="00550068" w:rsidRDefault="005F304F" w:rsidP="005F304F">
      <w:pPr>
        <w:rPr>
          <w:rFonts w:ascii="Work Sans" w:hAnsi="Work Sans"/>
          <w:lang w:val="en-US"/>
        </w:rPr>
      </w:pPr>
      <w:r w:rsidRPr="005F304F">
        <w:rPr>
          <w:rFonts w:ascii="Work Sans" w:hAnsi="Work Sans"/>
          <w:lang w:val="en-US"/>
        </w:rPr>
        <w:t>Among the various finishes</w:t>
      </w:r>
      <w:r>
        <w:rPr>
          <w:rFonts w:ascii="Work Sans" w:hAnsi="Work Sans"/>
          <w:lang w:val="en-US"/>
        </w:rPr>
        <w:t xml:space="preserve"> </w:t>
      </w:r>
      <w:r w:rsidRPr="005F304F">
        <w:rPr>
          <w:rFonts w:ascii="Work Sans" w:hAnsi="Work Sans"/>
          <w:lang w:val="en-US"/>
        </w:rPr>
        <w:t>availabl</w:t>
      </w:r>
      <w:r w:rsidR="00477CC4">
        <w:rPr>
          <w:rFonts w:ascii="Work Sans" w:hAnsi="Work Sans"/>
          <w:lang w:val="en-US"/>
        </w:rPr>
        <w:t>e,</w:t>
      </w:r>
      <w:r>
        <w:rPr>
          <w:rFonts w:ascii="Work Sans" w:hAnsi="Work Sans"/>
          <w:lang w:val="en-US"/>
        </w:rPr>
        <w:t xml:space="preserve"> </w:t>
      </w:r>
      <w:r w:rsidRPr="005F304F">
        <w:rPr>
          <w:rFonts w:ascii="Work Sans" w:hAnsi="Work Sans"/>
          <w:lang w:val="en-US"/>
        </w:rPr>
        <w:t xml:space="preserve">the Alcantara version stands out as a distinctive expression of innovation and Made in Italy excellence. Presented in a vivid PANTONE® Orient Blue, </w:t>
      </w:r>
      <w:r w:rsidR="00F81797" w:rsidRPr="00F81797">
        <w:rPr>
          <w:rFonts w:ascii="Work Sans" w:hAnsi="Work Sans"/>
          <w:lang w:val="en-US"/>
        </w:rPr>
        <w:t xml:space="preserve">specially developed for this device </w:t>
      </w:r>
      <w:r w:rsidR="00477CC4">
        <w:rPr>
          <w:rFonts w:ascii="Work Sans" w:hAnsi="Work Sans"/>
          <w:lang w:val="en-US"/>
        </w:rPr>
        <w:t xml:space="preserve">and </w:t>
      </w:r>
      <w:r w:rsidR="00F81797" w:rsidRPr="00F81797">
        <w:rPr>
          <w:rFonts w:ascii="Work Sans" w:hAnsi="Work Sans"/>
          <w:lang w:val="en-US"/>
        </w:rPr>
        <w:t xml:space="preserve">following the bespoke green created for the previous </w:t>
      </w:r>
      <w:proofErr w:type="spellStart"/>
      <w:r w:rsidR="00F81797" w:rsidRPr="00F81797">
        <w:rPr>
          <w:rFonts w:ascii="Work Sans" w:hAnsi="Work Sans"/>
          <w:lang w:val="en-US"/>
        </w:rPr>
        <w:t>razr</w:t>
      </w:r>
      <w:proofErr w:type="spellEnd"/>
      <w:r w:rsidR="00F81797" w:rsidRPr="00F81797">
        <w:rPr>
          <w:rFonts w:ascii="Work Sans" w:hAnsi="Work Sans"/>
          <w:lang w:val="en-US"/>
        </w:rPr>
        <w:t xml:space="preserve"> 60 ultra</w:t>
      </w:r>
      <w:r w:rsidR="00F81797">
        <w:rPr>
          <w:rFonts w:ascii="Work Sans" w:hAnsi="Work Sans"/>
          <w:lang w:val="en-US"/>
        </w:rPr>
        <w:t xml:space="preserve">, </w:t>
      </w:r>
      <w:r>
        <w:rPr>
          <w:rFonts w:ascii="Work Sans" w:hAnsi="Work Sans"/>
          <w:lang w:val="en-US"/>
        </w:rPr>
        <w:t xml:space="preserve">the material </w:t>
      </w:r>
      <w:r w:rsidRPr="005F304F">
        <w:rPr>
          <w:rFonts w:ascii="Work Sans" w:hAnsi="Work Sans"/>
          <w:lang w:val="en-US"/>
        </w:rPr>
        <w:t xml:space="preserve">is enhanced by a finely embossed micro-lattice pattern that introduces a sophisticated three-dimensional effect, adding depth, tactility and understated luxury. </w:t>
      </w:r>
    </w:p>
    <w:p w14:paraId="1C2DB0A8" w14:textId="6DEBCA9C" w:rsidR="001066AE" w:rsidRPr="001066AE" w:rsidRDefault="001066AE" w:rsidP="001066AE">
      <w:pPr>
        <w:rPr>
          <w:rFonts w:ascii="Work Sans" w:hAnsi="Work Sans"/>
          <w:lang w:val="en-US"/>
        </w:rPr>
      </w:pPr>
      <w:r w:rsidRPr="001066AE">
        <w:rPr>
          <w:rFonts w:ascii="Work Sans" w:hAnsi="Work Sans"/>
          <w:lang w:val="en-US"/>
        </w:rPr>
        <w:t xml:space="preserve">This new </w:t>
      </w:r>
      <w:r>
        <w:rPr>
          <w:rFonts w:ascii="Work Sans" w:hAnsi="Work Sans"/>
          <w:lang w:val="en-US"/>
        </w:rPr>
        <w:t>version</w:t>
      </w:r>
      <w:r w:rsidRPr="001066AE">
        <w:rPr>
          <w:rFonts w:ascii="Work Sans" w:hAnsi="Work Sans"/>
          <w:lang w:val="en-US"/>
        </w:rPr>
        <w:t xml:space="preserve"> highlights one of Alcantara’s key strengths: its high level of customization</w:t>
      </w:r>
      <w:r>
        <w:rPr>
          <w:rFonts w:ascii="Work Sans" w:hAnsi="Work Sans"/>
          <w:lang w:val="en-US"/>
        </w:rPr>
        <w:t xml:space="preserve"> that enables </w:t>
      </w:r>
      <w:r w:rsidRPr="001066AE">
        <w:rPr>
          <w:rFonts w:ascii="Work Sans" w:hAnsi="Work Sans"/>
          <w:lang w:val="en-US"/>
        </w:rPr>
        <w:t>unique textures and finishes</w:t>
      </w:r>
      <w:r>
        <w:rPr>
          <w:rFonts w:ascii="Work Sans" w:hAnsi="Work Sans"/>
          <w:lang w:val="en-US"/>
        </w:rPr>
        <w:t>,</w:t>
      </w:r>
      <w:r w:rsidRPr="001066AE">
        <w:rPr>
          <w:rFonts w:ascii="Work Sans" w:hAnsi="Work Sans"/>
          <w:lang w:val="en-US"/>
        </w:rPr>
        <w:t xml:space="preserve"> while preserving the material’s distinctive combination of aesthetic, sensory and functional qualities.</w:t>
      </w:r>
    </w:p>
    <w:p w14:paraId="1FDED2D5" w14:textId="00DFF20B" w:rsidR="001066AE" w:rsidRPr="001066AE" w:rsidRDefault="001066AE" w:rsidP="001066AE">
      <w:pPr>
        <w:rPr>
          <w:rFonts w:ascii="Work Sans" w:hAnsi="Work Sans"/>
          <w:lang w:val="en-US"/>
        </w:rPr>
      </w:pPr>
      <w:r w:rsidRPr="005F304F">
        <w:rPr>
          <w:rFonts w:ascii="Work Sans" w:hAnsi="Work Sans"/>
          <w:lang w:val="en-US"/>
        </w:rPr>
        <w:t xml:space="preserve">More than a design element, </w:t>
      </w:r>
      <w:r w:rsidRPr="001066AE">
        <w:rPr>
          <w:rFonts w:ascii="Work Sans" w:hAnsi="Work Sans"/>
          <w:lang w:val="en-US"/>
        </w:rPr>
        <w:t xml:space="preserve">Alcantara’s soft-touch surface once again shapes the overall user experience, both from a functional and an emotional perspective: it enhances comfort and grip, durability and ease of maintenance, making it naturally suited to everyday use and, at the same time, </w:t>
      </w:r>
      <w:r>
        <w:rPr>
          <w:rFonts w:ascii="Work Sans" w:hAnsi="Work Sans"/>
          <w:lang w:val="en-US"/>
        </w:rPr>
        <w:t>it creates</w:t>
      </w:r>
      <w:r w:rsidRPr="001066AE">
        <w:rPr>
          <w:rFonts w:ascii="Work Sans" w:hAnsi="Work Sans"/>
          <w:lang w:val="en-US"/>
        </w:rPr>
        <w:t xml:space="preserve"> a more immediate and intuitive relationship between the user and the device, where interaction feels effortless and personal. An expression of Alcantara’s approach to innovation and its ongoing collaboration with Motorola, where functionality and emotional experience coexist seamlessly.</w:t>
      </w:r>
    </w:p>
    <w:p w14:paraId="2DA8EBBF" w14:textId="2FB91F30" w:rsidR="001066AE" w:rsidRPr="001066AE" w:rsidRDefault="001066AE" w:rsidP="001066AE">
      <w:pPr>
        <w:rPr>
          <w:rFonts w:ascii="Work Sans" w:hAnsi="Work Sans"/>
          <w:lang w:val="en-US"/>
        </w:rPr>
      </w:pPr>
      <w:r w:rsidRPr="001066AE">
        <w:rPr>
          <w:rFonts w:ascii="Work Sans" w:hAnsi="Work Sans"/>
          <w:lang w:val="en-US"/>
        </w:rPr>
        <w:t xml:space="preserve">The new </w:t>
      </w:r>
      <w:proofErr w:type="spellStart"/>
      <w:r>
        <w:rPr>
          <w:rFonts w:ascii="Work Sans" w:hAnsi="Work Sans"/>
          <w:lang w:val="en-US"/>
        </w:rPr>
        <w:t>razr</w:t>
      </w:r>
      <w:proofErr w:type="spellEnd"/>
      <w:r w:rsidRPr="001066AE">
        <w:rPr>
          <w:rFonts w:ascii="Work Sans" w:hAnsi="Work Sans"/>
          <w:lang w:val="en-US"/>
        </w:rPr>
        <w:t xml:space="preserve"> also introduces a range of innovations designed to enhance performance, usability and everyday experience, including:</w:t>
      </w:r>
    </w:p>
    <w:p w14:paraId="4468C053" w14:textId="77777777" w:rsidR="001066AE" w:rsidRPr="001066AE" w:rsidRDefault="001066AE" w:rsidP="001066AE">
      <w:pPr>
        <w:numPr>
          <w:ilvl w:val="0"/>
          <w:numId w:val="2"/>
        </w:numPr>
        <w:rPr>
          <w:rFonts w:ascii="Work Sans" w:hAnsi="Work Sans"/>
          <w:lang w:val="en-US"/>
        </w:rPr>
      </w:pPr>
      <w:r w:rsidRPr="001066AE">
        <w:rPr>
          <w:rFonts w:ascii="Work Sans" w:hAnsi="Work Sans"/>
          <w:lang w:val="en-US"/>
        </w:rPr>
        <w:t xml:space="preserve">advanced AI-powered features for more intuitive and personalized interactions </w:t>
      </w:r>
    </w:p>
    <w:p w14:paraId="01A70400" w14:textId="77777777" w:rsidR="001066AE" w:rsidRPr="001066AE" w:rsidRDefault="001066AE" w:rsidP="001066AE">
      <w:pPr>
        <w:numPr>
          <w:ilvl w:val="0"/>
          <w:numId w:val="2"/>
        </w:numPr>
        <w:rPr>
          <w:rFonts w:ascii="Work Sans" w:hAnsi="Work Sans"/>
          <w:lang w:val="en-US"/>
        </w:rPr>
      </w:pPr>
      <w:r w:rsidRPr="001066AE">
        <w:rPr>
          <w:rFonts w:ascii="Work Sans" w:hAnsi="Work Sans"/>
          <w:lang w:val="en-US"/>
        </w:rPr>
        <w:t xml:space="preserve">a high-performance platform enabling faster speeds and seamless multitasking </w:t>
      </w:r>
    </w:p>
    <w:p w14:paraId="7F51314A" w14:textId="77777777" w:rsidR="001066AE" w:rsidRPr="001066AE" w:rsidRDefault="001066AE" w:rsidP="001066AE">
      <w:pPr>
        <w:numPr>
          <w:ilvl w:val="0"/>
          <w:numId w:val="2"/>
        </w:numPr>
        <w:rPr>
          <w:rFonts w:ascii="Work Sans" w:hAnsi="Work Sans"/>
          <w:lang w:val="en-US"/>
        </w:rPr>
      </w:pPr>
      <w:r w:rsidRPr="001066AE">
        <w:rPr>
          <w:rFonts w:ascii="Work Sans" w:hAnsi="Work Sans"/>
          <w:lang w:val="en-US"/>
        </w:rPr>
        <w:lastRenderedPageBreak/>
        <w:t xml:space="preserve">a pro-grade camera system designed for versatile, high-quality content creation </w:t>
      </w:r>
    </w:p>
    <w:p w14:paraId="7ABFD8F3" w14:textId="63E02E4C" w:rsidR="001066AE" w:rsidRPr="001066AE" w:rsidRDefault="001066AE" w:rsidP="001066AE">
      <w:pPr>
        <w:numPr>
          <w:ilvl w:val="0"/>
          <w:numId w:val="2"/>
        </w:numPr>
        <w:rPr>
          <w:rFonts w:ascii="Work Sans" w:hAnsi="Work Sans"/>
          <w:lang w:val="en-US"/>
        </w:rPr>
      </w:pPr>
      <w:r w:rsidRPr="001066AE">
        <w:rPr>
          <w:rFonts w:ascii="Work Sans" w:hAnsi="Work Sans"/>
          <w:lang w:val="en-US"/>
        </w:rPr>
        <w:t xml:space="preserve">an immersive display experience, both internal and external, for enhanced usability on the go </w:t>
      </w:r>
    </w:p>
    <w:p w14:paraId="71109846" w14:textId="2F83CA16" w:rsidR="005F304F" w:rsidRPr="005F304F" w:rsidRDefault="005F304F" w:rsidP="005F304F">
      <w:pPr>
        <w:rPr>
          <w:rFonts w:ascii="Work Sans" w:hAnsi="Work Sans"/>
          <w:lang w:val="en-US"/>
        </w:rPr>
      </w:pPr>
      <w:r w:rsidRPr="005F304F">
        <w:rPr>
          <w:rFonts w:ascii="Work Sans" w:hAnsi="Work Sans"/>
          <w:lang w:val="en-US"/>
        </w:rPr>
        <w:t xml:space="preserve">The new </w:t>
      </w:r>
      <w:r w:rsidR="001066AE">
        <w:rPr>
          <w:rFonts w:ascii="Work Sans" w:hAnsi="Work Sans"/>
          <w:lang w:val="en-US"/>
        </w:rPr>
        <w:t>M</w:t>
      </w:r>
      <w:r w:rsidRPr="005F304F">
        <w:rPr>
          <w:rFonts w:ascii="Work Sans" w:hAnsi="Work Sans"/>
          <w:lang w:val="en-US"/>
        </w:rPr>
        <w:t xml:space="preserve">otorola </w:t>
      </w:r>
      <w:proofErr w:type="spellStart"/>
      <w:r w:rsidRPr="005F304F">
        <w:rPr>
          <w:rFonts w:ascii="Work Sans" w:hAnsi="Work Sans"/>
          <w:lang w:val="en-US"/>
        </w:rPr>
        <w:t>razr</w:t>
      </w:r>
      <w:proofErr w:type="spellEnd"/>
      <w:r w:rsidRPr="005F304F">
        <w:rPr>
          <w:rFonts w:ascii="Work Sans" w:hAnsi="Work Sans"/>
          <w:lang w:val="en-US"/>
        </w:rPr>
        <w:t xml:space="preserve"> 70 ultra will be available worldwide starting April 29</w:t>
      </w:r>
      <w:r w:rsidR="001066AE">
        <w:rPr>
          <w:rFonts w:ascii="Work Sans" w:hAnsi="Work Sans"/>
          <w:lang w:val="en-US"/>
        </w:rPr>
        <w:t>, 2026.</w:t>
      </w:r>
    </w:p>
    <w:p w14:paraId="20711981" w14:textId="77777777" w:rsidR="00F81797" w:rsidRPr="00D90757" w:rsidRDefault="00F81797" w:rsidP="00F81797">
      <w:pPr>
        <w:spacing w:before="100" w:beforeAutospacing="1" w:after="100" w:afterAutospacing="1"/>
        <w:jc w:val="both"/>
        <w:rPr>
          <w:rFonts w:ascii="Work Sans" w:hAnsi="Work Sans"/>
          <w:sz w:val="18"/>
          <w:szCs w:val="18"/>
        </w:rPr>
      </w:pPr>
      <w:r w:rsidRPr="00447ED5">
        <w:rPr>
          <w:rFonts w:ascii="Work Sans" w:hAnsi="Work Sans"/>
          <w:b/>
          <w:bCs/>
          <w:sz w:val="18"/>
          <w:szCs w:val="18"/>
        </w:rPr>
        <w:t>Alcantara S.p.A.</w:t>
      </w:r>
      <w:r w:rsidRPr="00D90757">
        <w:rPr>
          <w:rFonts w:ascii="Work Sans" w:hAnsi="Work Sans"/>
          <w:sz w:val="18"/>
          <w:szCs w:val="18"/>
        </w:rPr>
        <w:t xml:space="preserve"> – </w:t>
      </w:r>
      <w:hyperlink r:id="rId7" w:history="1">
        <w:r w:rsidRPr="00C20BB2">
          <w:rPr>
            <w:rStyle w:val="Collegamentoipertestuale"/>
            <w:rFonts w:ascii="Work Sans" w:hAnsi="Work Sans"/>
            <w:sz w:val="18"/>
            <w:szCs w:val="18"/>
          </w:rPr>
          <w:t>www.alcantara.com</w:t>
        </w:r>
      </w:hyperlink>
      <w:r>
        <w:rPr>
          <w:rFonts w:ascii="Work Sans" w:hAnsi="Work Sans"/>
          <w:sz w:val="18"/>
          <w:szCs w:val="18"/>
        </w:rPr>
        <w:t xml:space="preserve"> </w:t>
      </w:r>
    </w:p>
    <w:p w14:paraId="2DEC3983" w14:textId="77777777" w:rsidR="00F81797" w:rsidRPr="00C52139" w:rsidRDefault="00F81797" w:rsidP="00F81797">
      <w:pPr>
        <w:rPr>
          <w:rFonts w:ascii="Work Sans" w:hAnsi="Work Sans"/>
          <w:sz w:val="18"/>
          <w:szCs w:val="18"/>
          <w:lang w:val="en-US"/>
        </w:rPr>
      </w:pPr>
      <w:r w:rsidRPr="00C52139">
        <w:rPr>
          <w:rFonts w:ascii="Work Sans" w:hAnsi="Work Sans"/>
          <w:sz w:val="18"/>
          <w:szCs w:val="18"/>
          <w:lang w:val="en-US"/>
        </w:rPr>
        <w:t xml:space="preserve">Founded in 1972, Alcantara represents one of the excellence of Made in Italy. A registered trademark of Alcantara S.p.A. and the result of a unique proprietary technology, Alcantara® is a highly innovative material, offering an unmatched combination of </w:t>
      </w:r>
      <w:proofErr w:type="spellStart"/>
      <w:r w:rsidRPr="00C52139">
        <w:rPr>
          <w:rFonts w:ascii="Work Sans" w:hAnsi="Work Sans"/>
          <w:sz w:val="18"/>
          <w:szCs w:val="18"/>
          <w:lang w:val="en-US"/>
        </w:rPr>
        <w:t>sensoriality</w:t>
      </w:r>
      <w:proofErr w:type="spellEnd"/>
      <w:r w:rsidRPr="00C52139">
        <w:rPr>
          <w:rFonts w:ascii="Work Sans" w:hAnsi="Work Sans"/>
          <w:sz w:val="18"/>
          <w:szCs w:val="18"/>
          <w:lang w:val="en-US"/>
        </w:rPr>
        <w:t>, aesthetics, and functionality.</w:t>
      </w:r>
      <w:r>
        <w:rPr>
          <w:rFonts w:ascii="Work Sans" w:hAnsi="Work Sans"/>
          <w:sz w:val="18"/>
          <w:szCs w:val="18"/>
          <w:lang w:val="en-US"/>
        </w:rPr>
        <w:t xml:space="preserve"> </w:t>
      </w:r>
      <w:r w:rsidRPr="00C52139">
        <w:rPr>
          <w:rFonts w:ascii="Work Sans" w:hAnsi="Work Sans"/>
          <w:sz w:val="18"/>
          <w:szCs w:val="18"/>
          <w:lang w:val="en-US"/>
        </w:rPr>
        <w:t>Thanks to its extraordinary versatility, Alcantara is the choice of leading brands across a wide range of applications, including fashion and accessories, automotive, interior design and home décor, and consumer electronics.</w:t>
      </w:r>
      <w:r>
        <w:rPr>
          <w:rFonts w:ascii="Work Sans" w:hAnsi="Work Sans"/>
          <w:sz w:val="18"/>
          <w:szCs w:val="18"/>
          <w:lang w:val="en-US"/>
        </w:rPr>
        <w:t xml:space="preserve"> </w:t>
      </w:r>
      <w:r w:rsidRPr="00C52139">
        <w:rPr>
          <w:rFonts w:ascii="Work Sans" w:hAnsi="Work Sans"/>
          <w:sz w:val="18"/>
          <w:szCs w:val="18"/>
          <w:lang w:val="en-US"/>
        </w:rPr>
        <w:t>These qualities, combined with a strong and certified commitment to sustainability, allow Alcantara to embody and define a contemporary lifestyle. Since 2009, Alcantara has been certified Carbon Neutral. This certification is achieved through the offsetting of greenhouse gas emissions via the acquisition of carbon credits from certified and verified offset projects.</w:t>
      </w:r>
      <w:r>
        <w:rPr>
          <w:rFonts w:ascii="Work Sans" w:hAnsi="Work Sans"/>
          <w:sz w:val="18"/>
          <w:szCs w:val="18"/>
          <w:lang w:val="en-US"/>
        </w:rPr>
        <w:t xml:space="preserve"> </w:t>
      </w:r>
      <w:r w:rsidRPr="00C52139">
        <w:rPr>
          <w:rFonts w:ascii="Work Sans" w:hAnsi="Work Sans"/>
          <w:sz w:val="18"/>
          <w:szCs w:val="18"/>
          <w:lang w:val="en-US"/>
        </w:rPr>
        <w:t>While acknowledging that offsetting is not the ultimate solution, we believe that carbon credits are an effective tool to accelerate the fight against climate change beyond our value chain and to contribute to measurable global emission reductions. In addition, the projects supported by Alcantara each year generate tangible social benefits for the local communities involved.</w:t>
      </w:r>
      <w:r>
        <w:rPr>
          <w:rFonts w:ascii="Work Sans" w:hAnsi="Work Sans"/>
          <w:sz w:val="18"/>
          <w:szCs w:val="18"/>
          <w:lang w:val="en-US"/>
        </w:rPr>
        <w:t xml:space="preserve"> </w:t>
      </w:r>
      <w:r w:rsidRPr="00C52139">
        <w:rPr>
          <w:rFonts w:ascii="Work Sans" w:hAnsi="Work Sans"/>
          <w:sz w:val="18"/>
          <w:szCs w:val="18"/>
          <w:lang w:val="en-US"/>
        </w:rPr>
        <w:t>To document its ongoing commitment in this area, Alcantara publishes an annual Sustainability Report, certified by EY and available on the company’s website.</w:t>
      </w:r>
      <w:r>
        <w:rPr>
          <w:rFonts w:ascii="Work Sans" w:hAnsi="Work Sans"/>
          <w:sz w:val="18"/>
          <w:szCs w:val="18"/>
          <w:lang w:val="en-US"/>
        </w:rPr>
        <w:t xml:space="preserve"> </w:t>
      </w:r>
      <w:r w:rsidRPr="00C52139">
        <w:rPr>
          <w:rFonts w:ascii="Work Sans" w:hAnsi="Work Sans"/>
          <w:sz w:val="18"/>
          <w:szCs w:val="18"/>
          <w:lang w:val="en-US"/>
        </w:rPr>
        <w:t>Alcantara’s headquarters are located in Milan, while its production plant and research center are based in Nera Montoro, in the heart of Umbria (Terni).</w:t>
      </w:r>
    </w:p>
    <w:p w14:paraId="245C8D99" w14:textId="77777777" w:rsidR="00605A93" w:rsidRPr="005F304F" w:rsidRDefault="00605A93">
      <w:pPr>
        <w:rPr>
          <w:rFonts w:ascii="Work Sans" w:hAnsi="Work Sans"/>
          <w:lang w:val="en-US"/>
        </w:rPr>
      </w:pPr>
    </w:p>
    <w:sectPr w:rsidR="00605A93" w:rsidRPr="005F304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4653" w14:textId="77777777" w:rsidR="00F234BE" w:rsidRDefault="00F234BE" w:rsidP="00F81797">
      <w:pPr>
        <w:spacing w:after="0" w:line="240" w:lineRule="auto"/>
      </w:pPr>
      <w:r>
        <w:separator/>
      </w:r>
    </w:p>
  </w:endnote>
  <w:endnote w:type="continuationSeparator" w:id="0">
    <w:p w14:paraId="615BA472" w14:textId="77777777" w:rsidR="00F234BE" w:rsidRDefault="00F234BE" w:rsidP="00F81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15844" w14:textId="77777777" w:rsidR="00F234BE" w:rsidRDefault="00F234BE" w:rsidP="00F81797">
      <w:pPr>
        <w:spacing w:after="0" w:line="240" w:lineRule="auto"/>
      </w:pPr>
      <w:r>
        <w:separator/>
      </w:r>
    </w:p>
  </w:footnote>
  <w:footnote w:type="continuationSeparator" w:id="0">
    <w:p w14:paraId="65DC4527" w14:textId="77777777" w:rsidR="00F234BE" w:rsidRDefault="00F234BE" w:rsidP="00F81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3701" w14:textId="196EBE55" w:rsidR="00F81797" w:rsidRDefault="00F81797">
    <w:pPr>
      <w:pStyle w:val="Intestazione"/>
    </w:pPr>
    <w:r w:rsidRPr="00760496">
      <w:rPr>
        <w:noProof/>
      </w:rPr>
      <w:drawing>
        <wp:anchor distT="0" distB="0" distL="114300" distR="114300" simplePos="0" relativeHeight="251659264" behindDoc="1" locked="0" layoutInCell="1" allowOverlap="1" wp14:anchorId="488888DD" wp14:editId="262051A4">
          <wp:simplePos x="0" y="0"/>
          <wp:positionH relativeFrom="margin">
            <wp:posOffset>1367790</wp:posOffset>
          </wp:positionH>
          <wp:positionV relativeFrom="margin">
            <wp:posOffset>-1052195</wp:posOffset>
          </wp:positionV>
          <wp:extent cx="3295650" cy="703580"/>
          <wp:effectExtent l="0" t="0" r="0" b="1270"/>
          <wp:wrapThrough wrapText="bothSides">
            <wp:wrapPolygon edited="0">
              <wp:start x="0" y="0"/>
              <wp:lineTo x="0" y="21054"/>
              <wp:lineTo x="21475" y="21054"/>
              <wp:lineTo x="2147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B66979" w14:textId="77777777" w:rsidR="00F81797" w:rsidRDefault="00F81797">
    <w:pPr>
      <w:pStyle w:val="Intestazione"/>
    </w:pPr>
  </w:p>
  <w:p w14:paraId="74A25ADD" w14:textId="77777777" w:rsidR="00F81797" w:rsidRDefault="00F81797">
    <w:pPr>
      <w:pStyle w:val="Intestazione"/>
    </w:pPr>
  </w:p>
  <w:p w14:paraId="682B2992" w14:textId="77777777" w:rsidR="00F81797" w:rsidRDefault="00F81797">
    <w:pPr>
      <w:pStyle w:val="Intestazione"/>
    </w:pPr>
  </w:p>
  <w:p w14:paraId="5F564C77" w14:textId="77777777" w:rsidR="00F81797" w:rsidRDefault="00F817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81A1E"/>
    <w:multiLevelType w:val="multilevel"/>
    <w:tmpl w:val="515A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D570F7"/>
    <w:multiLevelType w:val="multilevel"/>
    <w:tmpl w:val="12E8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241448">
    <w:abstractNumId w:val="0"/>
  </w:num>
  <w:num w:numId="2" w16cid:durableId="1055009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04F"/>
    <w:rsid w:val="00001B0A"/>
    <w:rsid w:val="001066AE"/>
    <w:rsid w:val="001D31B1"/>
    <w:rsid w:val="00210E5F"/>
    <w:rsid w:val="002E4DBD"/>
    <w:rsid w:val="0042014D"/>
    <w:rsid w:val="004469E8"/>
    <w:rsid w:val="00477CC4"/>
    <w:rsid w:val="00500BF1"/>
    <w:rsid w:val="00550068"/>
    <w:rsid w:val="005A38F1"/>
    <w:rsid w:val="005F304F"/>
    <w:rsid w:val="00605A93"/>
    <w:rsid w:val="007A5A99"/>
    <w:rsid w:val="007C3329"/>
    <w:rsid w:val="00821D16"/>
    <w:rsid w:val="00904A4A"/>
    <w:rsid w:val="00A63E85"/>
    <w:rsid w:val="00A80A19"/>
    <w:rsid w:val="00BC12E1"/>
    <w:rsid w:val="00C77D7F"/>
    <w:rsid w:val="00DD4504"/>
    <w:rsid w:val="00F234BE"/>
    <w:rsid w:val="00F8179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A1F42"/>
  <w15:chartTrackingRefBased/>
  <w15:docId w15:val="{6FA5B5AF-9B64-4CEC-AE8B-89DEB79B1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F3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F3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F304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F304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F304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F304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F304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F304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F304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F304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F304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F304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F304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F304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F304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F304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F304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F304F"/>
    <w:rPr>
      <w:rFonts w:eastAsiaTheme="majorEastAsia" w:cstheme="majorBidi"/>
      <w:color w:val="272727" w:themeColor="text1" w:themeTint="D8"/>
    </w:rPr>
  </w:style>
  <w:style w:type="paragraph" w:styleId="Titolo">
    <w:name w:val="Title"/>
    <w:basedOn w:val="Normale"/>
    <w:next w:val="Normale"/>
    <w:link w:val="TitoloCarattere"/>
    <w:uiPriority w:val="10"/>
    <w:qFormat/>
    <w:rsid w:val="005F3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F304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F304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F304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F304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F304F"/>
    <w:rPr>
      <w:i/>
      <w:iCs/>
      <w:color w:val="404040" w:themeColor="text1" w:themeTint="BF"/>
    </w:rPr>
  </w:style>
  <w:style w:type="paragraph" w:styleId="Paragrafoelenco">
    <w:name w:val="List Paragraph"/>
    <w:basedOn w:val="Normale"/>
    <w:uiPriority w:val="34"/>
    <w:qFormat/>
    <w:rsid w:val="005F304F"/>
    <w:pPr>
      <w:ind w:left="720"/>
      <w:contextualSpacing/>
    </w:pPr>
  </w:style>
  <w:style w:type="character" w:styleId="Enfasiintensa">
    <w:name w:val="Intense Emphasis"/>
    <w:basedOn w:val="Carpredefinitoparagrafo"/>
    <w:uiPriority w:val="21"/>
    <w:qFormat/>
    <w:rsid w:val="005F304F"/>
    <w:rPr>
      <w:i/>
      <w:iCs/>
      <w:color w:val="0F4761" w:themeColor="accent1" w:themeShade="BF"/>
    </w:rPr>
  </w:style>
  <w:style w:type="paragraph" w:styleId="Citazioneintensa">
    <w:name w:val="Intense Quote"/>
    <w:basedOn w:val="Normale"/>
    <w:next w:val="Normale"/>
    <w:link w:val="CitazioneintensaCarattere"/>
    <w:uiPriority w:val="30"/>
    <w:qFormat/>
    <w:rsid w:val="005F3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F304F"/>
    <w:rPr>
      <w:i/>
      <w:iCs/>
      <w:color w:val="0F4761" w:themeColor="accent1" w:themeShade="BF"/>
    </w:rPr>
  </w:style>
  <w:style w:type="character" w:styleId="Riferimentointenso">
    <w:name w:val="Intense Reference"/>
    <w:basedOn w:val="Carpredefinitoparagrafo"/>
    <w:uiPriority w:val="32"/>
    <w:qFormat/>
    <w:rsid w:val="005F304F"/>
    <w:rPr>
      <w:b/>
      <w:bCs/>
      <w:smallCaps/>
      <w:color w:val="0F4761" w:themeColor="accent1" w:themeShade="BF"/>
      <w:spacing w:val="5"/>
    </w:rPr>
  </w:style>
  <w:style w:type="character" w:styleId="Collegamentoipertestuale">
    <w:name w:val="Hyperlink"/>
    <w:basedOn w:val="Carpredefinitoparagrafo"/>
    <w:uiPriority w:val="99"/>
    <w:unhideWhenUsed/>
    <w:rsid w:val="00F81797"/>
    <w:rPr>
      <w:color w:val="0000FF"/>
      <w:u w:val="single"/>
    </w:rPr>
  </w:style>
  <w:style w:type="paragraph" w:styleId="Intestazione">
    <w:name w:val="header"/>
    <w:basedOn w:val="Normale"/>
    <w:link w:val="IntestazioneCarattere"/>
    <w:uiPriority w:val="99"/>
    <w:unhideWhenUsed/>
    <w:rsid w:val="00F8179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81797"/>
  </w:style>
  <w:style w:type="paragraph" w:styleId="Pidipagina">
    <w:name w:val="footer"/>
    <w:basedOn w:val="Normale"/>
    <w:link w:val="PidipaginaCarattere"/>
    <w:uiPriority w:val="99"/>
    <w:unhideWhenUsed/>
    <w:rsid w:val="00F8179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1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lcanta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623</Words>
  <Characters>3554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Malagoli Margherita</cp:lastModifiedBy>
  <cp:revision>3</cp:revision>
  <dcterms:created xsi:type="dcterms:W3CDTF">2026-04-24T08:24:00Z</dcterms:created>
  <dcterms:modified xsi:type="dcterms:W3CDTF">2026-04-28T08:59:00Z</dcterms:modified>
</cp:coreProperties>
</file>